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C06" w:rsidRPr="00BD1C06" w:rsidRDefault="00BD1C06" w:rsidP="00BD1C06">
      <w:pPr>
        <w:jc w:val="center"/>
        <w:rPr>
          <w:rFonts w:ascii="仿宋_GB2312" w:eastAsia="仿宋_GB2312"/>
          <w:sz w:val="32"/>
          <w:szCs w:val="32"/>
        </w:rPr>
      </w:pPr>
      <w:r w:rsidRPr="00BD1C06">
        <w:rPr>
          <w:rFonts w:ascii="仿宋_GB2312" w:eastAsia="仿宋_GB2312" w:hint="eastAsia"/>
          <w:sz w:val="36"/>
          <w:szCs w:val="32"/>
        </w:rPr>
        <w:t>中华人民共和国个人所得税法</w:t>
      </w:r>
    </w:p>
    <w:p w:rsidR="00BD1C06" w:rsidRPr="00BD1C06" w:rsidRDefault="00BD1C06" w:rsidP="00BD1C06">
      <w:pPr>
        <w:rPr>
          <w:rFonts w:ascii="仿宋_GB2312" w:eastAsia="仿宋_GB2312"/>
          <w:sz w:val="32"/>
          <w:szCs w:val="32"/>
        </w:rPr>
      </w:pP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（1980年9月10日第五届全国人民代表大会第三次会议通过根据1993年10月31日第八届全国人民代表大会常务委员会第四次会议《关于修改〈中华人民共和国个人所得税法〉的决定》第一次修正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根据2007年12月29日第十届全国人民代表大会常务委员会第三十一次会议《关于修改〈中华人民共和国个人所得税法〉的决定》第五次修正　根据2011年6月30日第十一届全国人民代表大会常务委员会第二十一次会议《关于修改〈中华人民共和国个人所得税法〉的决定》第六次修正　根据2018年8月31日第十三届全国人民代表大会常务委员会第五次会议《关于修改〈中华人民共和国个人所得税法〉的决定》第七次修正）</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第一条　在中国境内有住所，或者无住所而一个纳税年</w:t>
      </w:r>
      <w:r w:rsidRPr="00BD1C06">
        <w:rPr>
          <w:rFonts w:ascii="仿宋_GB2312" w:eastAsia="仿宋_GB2312" w:hint="eastAsia"/>
          <w:sz w:val="32"/>
          <w:szCs w:val="32"/>
        </w:rPr>
        <w:lastRenderedPageBreak/>
        <w:t>度内在中国境内居住累计满一百八十三天的个人，为居民个人。居民个人从中国境内和境外取得的所得，依照本法规定缴纳个人所得税。</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在中国境内无住所又不居住，或者无住所而一个纳税年度内在中国境内居住累计不满一百八十三天的个人，为非居民个人。非居民个人从中国境内取得的所得，依照本法规定缴纳个人所得税。</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纳税年度，自公历一月一日起至十二月三十一日止。</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第二条　下列各项个人所得，应当缴纳个人所得税：</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（一）工资、薪金所得；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（二）劳务报酬所得；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（三）稿酬所得；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（四）特许权使用费所得；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（五）经营所得；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（六）利息、股息、红利所得；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（七）财产租赁所得；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（八）财产转让所得；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（九）偶然所得。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居民个人取得前款第一项至第四项所得（以下</w:t>
      </w:r>
      <w:proofErr w:type="gramStart"/>
      <w:r w:rsidRPr="00BD1C06">
        <w:rPr>
          <w:rFonts w:ascii="仿宋_GB2312" w:eastAsia="仿宋_GB2312" w:hint="eastAsia"/>
          <w:sz w:val="32"/>
          <w:szCs w:val="32"/>
        </w:rPr>
        <w:t>称综合</w:t>
      </w:r>
      <w:proofErr w:type="gramEnd"/>
      <w:r w:rsidRPr="00BD1C06">
        <w:rPr>
          <w:rFonts w:ascii="仿宋_GB2312" w:eastAsia="仿宋_GB2312" w:hint="eastAsia"/>
          <w:sz w:val="32"/>
          <w:szCs w:val="32"/>
        </w:rPr>
        <w:t>所得），按纳税年度合并计算个人所得税；非居民个人取得前款第一项至第四项所得，按月或者按次分项计算个人所得税。纳税人取得前款第五项至第九项所得，依照本法规定分别计</w:t>
      </w:r>
      <w:r w:rsidRPr="00BD1C06">
        <w:rPr>
          <w:rFonts w:ascii="仿宋_GB2312" w:eastAsia="仿宋_GB2312" w:hint="eastAsia"/>
          <w:sz w:val="32"/>
          <w:szCs w:val="32"/>
        </w:rPr>
        <w:lastRenderedPageBreak/>
        <w:t>算个人所得税。</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第三条　个人所得税的税率：</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（一）综合所得，适用百分之三至百分之四十五的超额累进税率（税率表附后）；</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（二）经营所得，适用百分之五至百分之三十五的超额累进税率（税率表附后）；</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（三）利息、股息、红利所得，财产租赁所得，财产转让所得和偶然所得，适用比例税率，税率为百分之二十。</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第四条　下列各项个人所得，免征个人所得税：</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（一）省级人民政府、国务院部委和中国人民解放军军以上单位，以及外国组织、国际组织颁发的科学、教育、技术、文化、卫生、体育、环境保护等方面的奖金；</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（二）国债和国家发行的金融债券利息；</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（三）按照国家统一规定发给的补贴、津贴；</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（四）福利费、抚恤金、救济金；</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（五）保险赔款；</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（六）军人的转业费、复员费、退役金；</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（七）按照国家统一规定发给干部、职工的安家费、退职费、基本养老金或者退休费、离休费、离休生活补助费；</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（八）依照有关法律规定应予免税的各国驻华使馆、领事馆的外交代表、领事官员和其他人员的所得；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（九）中国政府参加的国际公约、签订的协议中规定免</w:t>
      </w:r>
      <w:r w:rsidRPr="00BD1C06">
        <w:rPr>
          <w:rFonts w:ascii="仿宋_GB2312" w:eastAsia="仿宋_GB2312" w:hint="eastAsia"/>
          <w:sz w:val="32"/>
          <w:szCs w:val="32"/>
        </w:rPr>
        <w:lastRenderedPageBreak/>
        <w:t>税的所得；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（十）国务院规定的其他免税所得。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前款第十项免税规定，由国务院报全国人民代表大会常务委员会备案。</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第五条　有下列情形之一的，可以减征个人所得税，具体幅度和期限，由省、自治区、直辖市人民政府规定，并报同级人民代表大会常务委员会备案：</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（一）残疾、孤老人员和烈属的所得；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（二）因自然灾害遭受重大损失的。</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国务院可以规定其他减税情形，报全国人民代表大会常务委员会备案。</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第六条　应纳税所得额的计算：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（一）居民个人的综合所得，以每一纳税年度的收入额减除费用六万元以及专项扣除、专项附加扣除和依法确定的其他扣除后的余额，为应纳税所得额。</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（二）非居民个人的工资、薪金所得，以每月收入额减除费用五千元后的余额为应纳税所得额；劳务报酬所得、稿酬所得、特许权使用费所得，以每次收入额为应纳税所得额。</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（三）经营所得，以每一纳税年度的收入总额减除成本、费用以及损失后的余额，为应纳税所得额。</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（四）财产租赁所得，每次收入不超过四千元的，减除费用八百元；四千元以上的，减除百分之二十的费用，其余</w:t>
      </w:r>
      <w:r w:rsidRPr="00BD1C06">
        <w:rPr>
          <w:rFonts w:ascii="仿宋_GB2312" w:eastAsia="仿宋_GB2312" w:hint="eastAsia"/>
          <w:sz w:val="32"/>
          <w:szCs w:val="32"/>
        </w:rPr>
        <w:lastRenderedPageBreak/>
        <w:t>额为应纳税所得额。</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（五）财产转让所得，以转让财产的收入额减除财产原值和合理费用后的余额，为应纳税所得额。</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（六）利息、股息、红利所得和偶然所得，以每次收入额为应纳税所得额。</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劳务报酬所得、稿酬所得、特许权使用费所得以收入减除百分之二十的费用后的余额为收入额。稿酬所得的</w:t>
      </w:r>
      <w:proofErr w:type="gramStart"/>
      <w:r w:rsidRPr="00BD1C06">
        <w:rPr>
          <w:rFonts w:ascii="仿宋_GB2312" w:eastAsia="仿宋_GB2312" w:hint="eastAsia"/>
          <w:sz w:val="32"/>
          <w:szCs w:val="32"/>
        </w:rPr>
        <w:t>收入额减按</w:t>
      </w:r>
      <w:proofErr w:type="gramEnd"/>
      <w:r w:rsidRPr="00BD1C06">
        <w:rPr>
          <w:rFonts w:ascii="仿宋_GB2312" w:eastAsia="仿宋_GB2312" w:hint="eastAsia"/>
          <w:sz w:val="32"/>
          <w:szCs w:val="32"/>
        </w:rPr>
        <w:t>百分之七十计算。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第七条　居民个人从中国境外取得的所得，可以从其应纳税额中抵免已在境外缴纳的个人所得税税额，但抵免额不得超过该纳税人境外所得依照本法规定计算的应纳税额。</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第八条　有下列情形之一的，税务机关有权按照合理方</w:t>
      </w:r>
      <w:r w:rsidRPr="00BD1C06">
        <w:rPr>
          <w:rFonts w:ascii="仿宋_GB2312" w:eastAsia="仿宋_GB2312" w:hint="eastAsia"/>
          <w:sz w:val="32"/>
          <w:szCs w:val="32"/>
        </w:rPr>
        <w:lastRenderedPageBreak/>
        <w:t>法进行纳税调整：</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（一）个人与其关联方之间的业务往来不符合独立交易原则而减少本人或者其关联方应纳税额，且无正当理由；</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（二）居民个人控制的，或者居民个人和居民企业共同控制的设立在实际税负明显偏低的国家（地区）的企业，无合理经营需要，对应当归属于居民个人的利润不作分配或者减少分配；</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（三）个人实施其他不具有合理商业目的的安排而获取不当税收利益。</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税务机关依照前款规定</w:t>
      </w:r>
      <w:proofErr w:type="gramStart"/>
      <w:r w:rsidRPr="00BD1C06">
        <w:rPr>
          <w:rFonts w:ascii="仿宋_GB2312" w:eastAsia="仿宋_GB2312" w:hint="eastAsia"/>
          <w:sz w:val="32"/>
          <w:szCs w:val="32"/>
        </w:rPr>
        <w:t>作出</w:t>
      </w:r>
      <w:proofErr w:type="gramEnd"/>
      <w:r w:rsidRPr="00BD1C06">
        <w:rPr>
          <w:rFonts w:ascii="仿宋_GB2312" w:eastAsia="仿宋_GB2312" w:hint="eastAsia"/>
          <w:sz w:val="32"/>
          <w:szCs w:val="32"/>
        </w:rPr>
        <w:t>纳税调整，需要补征税款的，应当补征税款，并依法加收利息。</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第九条　个人所得税以所得人为纳税人，以支付所得的单位或者</w:t>
      </w:r>
      <w:proofErr w:type="gramStart"/>
      <w:r w:rsidRPr="00BD1C06">
        <w:rPr>
          <w:rFonts w:ascii="仿宋_GB2312" w:eastAsia="仿宋_GB2312" w:hint="eastAsia"/>
          <w:sz w:val="32"/>
          <w:szCs w:val="32"/>
        </w:rPr>
        <w:t>个</w:t>
      </w:r>
      <w:proofErr w:type="gramEnd"/>
      <w:r w:rsidRPr="00BD1C06">
        <w:rPr>
          <w:rFonts w:ascii="仿宋_GB2312" w:eastAsia="仿宋_GB2312" w:hint="eastAsia"/>
          <w:sz w:val="32"/>
          <w:szCs w:val="32"/>
        </w:rPr>
        <w:t>人为扣缴义务人。</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纳税人有中国公民身份号码的，以中国公民身份号码为纳税人识别号；纳税人没有中国公民身份号码的，由税务机关赋予其纳税人识别号。扣缴义务人扣缴税款时，纳税人应当向扣缴义务人提供纳税人识别号。</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第十条　有下列情形之一的，纳税人应当依法办理纳税申报：</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（一）取得综合所得需要办理汇算清缴；</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（二）取得应税所得没有扣缴义务人；</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（三）取得应税所得，扣缴义务人未扣缴税款；</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lastRenderedPageBreak/>
        <w:t xml:space="preserve">　　（四）取得境外所得；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（五）因移居境外注销中国户籍；</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（六）非居民个人在中国境内从两处以上取得工资、薪金所得；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（七）国务院规定的其他情形。</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扣缴义务人应当按照国家规定办理全员全额扣缴申报，并向纳税人提供其个人所得和已扣缴税款等信息。</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第十一条　居民个人取得综合所得，按年计算个人所得税；有扣缴义务人的，由扣缴义务人按月或者按次</w:t>
      </w:r>
      <w:proofErr w:type="gramStart"/>
      <w:r w:rsidRPr="00BD1C06">
        <w:rPr>
          <w:rFonts w:ascii="仿宋_GB2312" w:eastAsia="仿宋_GB2312" w:hint="eastAsia"/>
          <w:sz w:val="32"/>
          <w:szCs w:val="32"/>
        </w:rPr>
        <w:t>预扣预缴税</w:t>
      </w:r>
      <w:proofErr w:type="gramEnd"/>
      <w:r w:rsidRPr="00BD1C06">
        <w:rPr>
          <w:rFonts w:ascii="仿宋_GB2312" w:eastAsia="仿宋_GB2312" w:hint="eastAsia"/>
          <w:sz w:val="32"/>
          <w:szCs w:val="32"/>
        </w:rPr>
        <w:t>款；需要办理汇算清缴的，应当在取得所得的次年三月一日至六月三十日内办理汇算清缴。预扣预缴办法由国务院税务主管部门制定。</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居民个人向扣缴义务人提供专项附加扣除信息的，扣缴义务人按月</w:t>
      </w:r>
      <w:proofErr w:type="gramStart"/>
      <w:r w:rsidRPr="00BD1C06">
        <w:rPr>
          <w:rFonts w:ascii="仿宋_GB2312" w:eastAsia="仿宋_GB2312" w:hint="eastAsia"/>
          <w:sz w:val="32"/>
          <w:szCs w:val="32"/>
        </w:rPr>
        <w:t>预扣预缴税</w:t>
      </w:r>
      <w:proofErr w:type="gramEnd"/>
      <w:r w:rsidRPr="00BD1C06">
        <w:rPr>
          <w:rFonts w:ascii="仿宋_GB2312" w:eastAsia="仿宋_GB2312" w:hint="eastAsia"/>
          <w:sz w:val="32"/>
          <w:szCs w:val="32"/>
        </w:rPr>
        <w:t>款时应当按照规定予以扣除，不得拒绝。</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非居民个人取得工资、薪金所得，劳务报酬所得，稿酬所得和特许权使用费所得，有扣缴义务人的，由扣缴义务人按月或者按次代扣代缴税款，不办理汇算清缴。</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第十二条　纳税人取得经营所得，按年计算个人所得税，由纳税人在月度或者季度终了后十五日内向税务机关报送纳税申报表，并预缴税款；在取得所得的次年三月三十一日前办理汇算清缴。</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lastRenderedPageBreak/>
        <w:t xml:space="preserve">　　纳税人取得利息、股息、红利所得，财产租赁所得，财产转让所得和偶然所得，按月或者按次计算个人所得税，有扣缴义务人的，由扣缴义务人按月或者按次代扣代缴税款。</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第十三条　纳税人取得应税所得没有扣缴义务人的，应当在取得所得的次月十五日内向税务机关报送纳税申报表，并缴纳税款。</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纳税人取得应税所得，扣缴义务人未扣缴税款的，纳税人应当在取得所得的次年六月三十日前，缴纳税款；税务机关通知限期缴纳的，纳税人应当按照期限缴纳税款。</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居民个人从中国境外取得所得的，应当在取得所得的次年三月一日至六月三十日内申报纳税。</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非居民个人在中国境内从两处以上取得工资、薪金所得的，应当在取得所得的次月十五日内申报纳税。</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纳税人因移居境外注销中国户籍的，应当在注销中国户籍前办理税款清算。</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第十四条　扣缴义务人每月或者每次预扣、代扣的税款，应当在次月十五日内缴入国库，并向税务机关报送扣缴个人所得税申报表。</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纳税人办理汇算清缴退税或者扣缴义务人为纳税人办理汇算清缴退税的，税务机关审核后，按照国库管理的有关规定办理退税。</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第十五条　公安、人民银行、金融监督管理等相关部门</w:t>
      </w:r>
      <w:r w:rsidRPr="00BD1C06">
        <w:rPr>
          <w:rFonts w:ascii="仿宋_GB2312" w:eastAsia="仿宋_GB2312" w:hint="eastAsia"/>
          <w:sz w:val="32"/>
          <w:szCs w:val="32"/>
        </w:rPr>
        <w:lastRenderedPageBreak/>
        <w:t>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有关部门依法将纳税人、扣缴义务人遵守本法的情况纳入信用信息系统，并实施联合激励或者惩戒。</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第十六条　各项所得的计算，以人民币为单位。所得为人民币以外的货币的，按照人民币汇率中间价折合成人民币缴纳税款。</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第十七条　对扣缴义务人按照所扣缴的税款，付给百分之二的手续费。</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第十八条　对储蓄存款利息所得开征、减征、停征个人所得税及其具体办法，由国务院规定，并报全国人民代表大会常务委员会备案。</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第十九条　纳税人、扣缴义务人和税务机关及其工作人员违反本法规定的，依照《中华人民共和国税收征收管理法》</w:t>
      </w:r>
      <w:r w:rsidRPr="00BD1C06">
        <w:rPr>
          <w:rFonts w:ascii="仿宋_GB2312" w:eastAsia="仿宋_GB2312" w:hint="eastAsia"/>
          <w:sz w:val="32"/>
          <w:szCs w:val="32"/>
        </w:rPr>
        <w:lastRenderedPageBreak/>
        <w:t>和有关法律法规的规定追究法律责任。</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第二十条　个人所得税的征收管理，依照本法和《中华人民共和国税收征收管理法》的规定执行。</w:t>
      </w:r>
    </w:p>
    <w:p w:rsidR="00BD1C06" w:rsidRPr="00BD1C06" w:rsidRDefault="00BD1C06" w:rsidP="00BD1C06">
      <w:pPr>
        <w:rPr>
          <w:rFonts w:ascii="仿宋_GB2312" w:eastAsia="仿宋_GB2312"/>
          <w:sz w:val="32"/>
          <w:szCs w:val="32"/>
        </w:rPr>
      </w:pPr>
      <w:r w:rsidRPr="00BD1C06">
        <w:rPr>
          <w:rFonts w:ascii="仿宋_GB2312" w:eastAsia="仿宋_GB2312" w:hint="eastAsia"/>
          <w:sz w:val="32"/>
          <w:szCs w:val="32"/>
        </w:rPr>
        <w:t xml:space="preserve">　　第二十一条　国务院根据本法制定实施条例。</w:t>
      </w:r>
    </w:p>
    <w:p w:rsidR="00BD1C06" w:rsidRDefault="00BD1C06" w:rsidP="00392748">
      <w:pPr>
        <w:ind w:firstLine="645"/>
        <w:rPr>
          <w:rFonts w:ascii="仿宋_GB2312" w:eastAsia="仿宋_GB2312"/>
          <w:sz w:val="32"/>
          <w:szCs w:val="32"/>
        </w:rPr>
      </w:pPr>
      <w:r w:rsidRPr="00BD1C06">
        <w:rPr>
          <w:rFonts w:ascii="仿宋_GB2312" w:eastAsia="仿宋_GB2312" w:hint="eastAsia"/>
          <w:sz w:val="32"/>
          <w:szCs w:val="32"/>
        </w:rPr>
        <w:t>第二十二条　本法自公布之日起施行</w:t>
      </w:r>
    </w:p>
    <w:p w:rsidR="00392748" w:rsidRDefault="00392748" w:rsidP="00392748">
      <w:pPr>
        <w:ind w:firstLine="645"/>
        <w:rPr>
          <w:rFonts w:ascii="仿宋_GB2312" w:eastAsia="仿宋_GB2312"/>
          <w:sz w:val="32"/>
          <w:szCs w:val="32"/>
        </w:rPr>
      </w:pPr>
    </w:p>
    <w:p w:rsidR="00392748" w:rsidRDefault="00392748" w:rsidP="00392748">
      <w:pPr>
        <w:ind w:firstLine="645"/>
        <w:rPr>
          <w:rFonts w:ascii="仿宋_GB2312" w:eastAsia="仿宋_GB2312"/>
          <w:sz w:val="32"/>
          <w:szCs w:val="32"/>
        </w:rPr>
      </w:pPr>
      <w:r>
        <w:rPr>
          <w:rFonts w:ascii="仿宋_GB2312" w:eastAsia="仿宋_GB2312"/>
          <w:noProof/>
          <w:sz w:val="32"/>
          <w:szCs w:val="32"/>
        </w:rPr>
        <w:drawing>
          <wp:inline distT="0" distB="0" distL="0" distR="0">
            <wp:extent cx="5267960" cy="380111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960" cy="3801110"/>
                    </a:xfrm>
                    <a:prstGeom prst="rect">
                      <a:avLst/>
                    </a:prstGeom>
                    <a:noFill/>
                    <a:ln>
                      <a:noFill/>
                    </a:ln>
                  </pic:spPr>
                </pic:pic>
              </a:graphicData>
            </a:graphic>
          </wp:inline>
        </w:drawing>
      </w:r>
    </w:p>
    <w:p w:rsidR="00392748" w:rsidRDefault="00392748" w:rsidP="00392748">
      <w:pPr>
        <w:ind w:firstLine="645"/>
        <w:rPr>
          <w:rFonts w:ascii="仿宋_GB2312" w:eastAsia="仿宋_GB2312"/>
          <w:sz w:val="32"/>
          <w:szCs w:val="32"/>
        </w:rPr>
      </w:pPr>
    </w:p>
    <w:p w:rsidR="00392748" w:rsidRPr="00392748" w:rsidRDefault="00392748" w:rsidP="00392748">
      <w:pPr>
        <w:ind w:firstLine="645"/>
        <w:rPr>
          <w:rFonts w:ascii="仿宋_GB2312" w:eastAsia="仿宋_GB2312" w:hint="eastAsia"/>
          <w:sz w:val="32"/>
          <w:szCs w:val="32"/>
        </w:rPr>
      </w:pPr>
      <w:bookmarkStart w:id="0" w:name="_GoBack"/>
      <w:bookmarkEnd w:id="0"/>
      <w:r>
        <w:rPr>
          <w:rFonts w:ascii="仿宋_GB2312" w:eastAsia="仿宋_GB2312"/>
          <w:noProof/>
          <w:sz w:val="32"/>
          <w:szCs w:val="32"/>
        </w:rPr>
        <w:lastRenderedPageBreak/>
        <w:drawing>
          <wp:inline distT="0" distB="0" distL="0" distR="0">
            <wp:extent cx="5274945" cy="2415540"/>
            <wp:effectExtent l="0" t="0" r="190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945" cy="2415540"/>
                    </a:xfrm>
                    <a:prstGeom prst="rect">
                      <a:avLst/>
                    </a:prstGeom>
                    <a:noFill/>
                    <a:ln>
                      <a:noFill/>
                    </a:ln>
                  </pic:spPr>
                </pic:pic>
              </a:graphicData>
            </a:graphic>
          </wp:inline>
        </w:drawing>
      </w:r>
    </w:p>
    <w:p w:rsidR="00BD1C06" w:rsidRPr="00BD1C06" w:rsidRDefault="00BD1C06">
      <w:pPr>
        <w:rPr>
          <w:rFonts w:ascii="仿宋_GB2312" w:eastAsia="仿宋_GB2312"/>
          <w:sz w:val="32"/>
          <w:szCs w:val="32"/>
        </w:rPr>
      </w:pPr>
    </w:p>
    <w:sectPr w:rsidR="00BD1C06" w:rsidRPr="00BD1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06"/>
    <w:rsid w:val="00392748"/>
    <w:rsid w:val="00BD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8796"/>
  <w15:chartTrackingRefBased/>
  <w15:docId w15:val="{498972CD-7645-4CB2-AC30-68C5DEEA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毛毅</dc:creator>
  <cp:keywords/>
  <dc:description/>
  <cp:lastModifiedBy>毛毅</cp:lastModifiedBy>
  <cp:revision>2</cp:revision>
  <dcterms:created xsi:type="dcterms:W3CDTF">2019-01-30T09:16:00Z</dcterms:created>
  <dcterms:modified xsi:type="dcterms:W3CDTF">2019-01-30T09:22:00Z</dcterms:modified>
</cp:coreProperties>
</file>