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63" w:type="dxa"/>
        <w:tblCellSpacing w:w="0" w:type="dxa"/>
        <w:tblCellMar>
          <w:left w:w="0" w:type="dxa"/>
          <w:right w:w="0" w:type="dxa"/>
        </w:tblCellMar>
        <w:tblLook w:val="04A0"/>
      </w:tblPr>
      <w:tblGrid>
        <w:gridCol w:w="1357"/>
        <w:gridCol w:w="2713"/>
        <w:gridCol w:w="1356"/>
        <w:gridCol w:w="2848"/>
        <w:gridCol w:w="1356"/>
        <w:gridCol w:w="3933"/>
      </w:tblGrid>
      <w:tr w:rsidR="00DA5D14" w:rsidRPr="00DA5D14" w:rsidTr="00DA5D14">
        <w:trPr>
          <w:tblCellSpacing w:w="0" w:type="dxa"/>
        </w:trPr>
        <w:tc>
          <w:tcPr>
            <w:tcW w:w="500" w:type="pct"/>
            <w:hideMark/>
          </w:tcPr>
          <w:p w:rsidR="00DA5D14" w:rsidRPr="00DA5D14" w:rsidRDefault="00DA5D14" w:rsidP="00DA5D14">
            <w:pPr>
              <w:widowControl/>
              <w:spacing w:line="419" w:lineRule="atLeast"/>
              <w:jc w:val="left"/>
              <w:rPr>
                <w:rFonts w:ascii="宋体" w:eastAsia="宋体" w:hAnsi="宋体" w:cs="宋体"/>
                <w:b/>
                <w:bCs/>
                <w:color w:val="4B4B4B"/>
                <w:kern w:val="0"/>
                <w:sz w:val="23"/>
                <w:szCs w:val="23"/>
              </w:rPr>
            </w:pPr>
          </w:p>
        </w:tc>
        <w:tc>
          <w:tcPr>
            <w:tcW w:w="0" w:type="auto"/>
            <w:gridSpan w:val="5"/>
            <w:hideMark/>
          </w:tcPr>
          <w:p w:rsidR="00DA5D14" w:rsidRPr="00DA5D14" w:rsidRDefault="00DA5D14" w:rsidP="00DA5D14">
            <w:pPr>
              <w:widowControl/>
              <w:spacing w:line="419" w:lineRule="atLeast"/>
              <w:jc w:val="left"/>
              <w:rPr>
                <w:rFonts w:ascii="宋体" w:eastAsia="宋体" w:hAnsi="宋体" w:cs="宋体"/>
                <w:b/>
                <w:bCs/>
                <w:color w:val="CC3300"/>
                <w:kern w:val="0"/>
                <w:sz w:val="23"/>
                <w:szCs w:val="23"/>
              </w:rPr>
            </w:pPr>
          </w:p>
        </w:tc>
      </w:tr>
      <w:tr w:rsidR="00DA5D14" w:rsidRPr="00DA5D14" w:rsidTr="00DA5D14">
        <w:trPr>
          <w:tblCellSpacing w:w="0" w:type="dxa"/>
        </w:trPr>
        <w:tc>
          <w:tcPr>
            <w:tcW w:w="500" w:type="pct"/>
            <w:hideMark/>
          </w:tcPr>
          <w:p w:rsidR="00DA5D14" w:rsidRPr="00DA5D14" w:rsidRDefault="00DA5D14" w:rsidP="00DA5D14">
            <w:pPr>
              <w:widowControl/>
              <w:spacing w:line="419" w:lineRule="atLeast"/>
              <w:jc w:val="left"/>
              <w:rPr>
                <w:rFonts w:ascii="宋体" w:eastAsia="宋体" w:hAnsi="宋体" w:cs="宋体"/>
                <w:b/>
                <w:bCs/>
                <w:color w:val="4B4B4B"/>
                <w:kern w:val="0"/>
                <w:sz w:val="23"/>
                <w:szCs w:val="23"/>
              </w:rPr>
            </w:pPr>
          </w:p>
        </w:tc>
        <w:tc>
          <w:tcPr>
            <w:tcW w:w="1000" w:type="pct"/>
            <w:hideMark/>
          </w:tcPr>
          <w:p w:rsidR="00DA5D14" w:rsidRPr="00DA5D14" w:rsidRDefault="00DA5D14" w:rsidP="00DA5D14">
            <w:pPr>
              <w:widowControl/>
              <w:spacing w:line="419" w:lineRule="atLeast"/>
              <w:jc w:val="left"/>
              <w:rPr>
                <w:rFonts w:ascii="宋体" w:eastAsia="宋体" w:hAnsi="宋体" w:cs="宋体"/>
                <w:color w:val="4B4B4B"/>
                <w:kern w:val="0"/>
                <w:sz w:val="23"/>
                <w:szCs w:val="23"/>
              </w:rPr>
            </w:pPr>
          </w:p>
        </w:tc>
        <w:tc>
          <w:tcPr>
            <w:tcW w:w="500" w:type="pct"/>
            <w:hideMark/>
          </w:tcPr>
          <w:p w:rsidR="00DA5D14" w:rsidRPr="00DA5D14" w:rsidRDefault="00DA5D14" w:rsidP="00DA5D14">
            <w:pPr>
              <w:widowControl/>
              <w:spacing w:line="419" w:lineRule="atLeast"/>
              <w:jc w:val="left"/>
              <w:rPr>
                <w:rFonts w:ascii="宋体" w:eastAsia="宋体" w:hAnsi="宋体" w:cs="宋体"/>
                <w:b/>
                <w:bCs/>
                <w:color w:val="4B4B4B"/>
                <w:kern w:val="0"/>
                <w:sz w:val="23"/>
                <w:szCs w:val="23"/>
              </w:rPr>
            </w:pPr>
          </w:p>
        </w:tc>
        <w:tc>
          <w:tcPr>
            <w:tcW w:w="1050" w:type="pct"/>
            <w:hideMark/>
          </w:tcPr>
          <w:p w:rsidR="00DA5D14" w:rsidRPr="00DA5D14" w:rsidRDefault="00DA5D14" w:rsidP="00DA5D14">
            <w:pPr>
              <w:widowControl/>
              <w:spacing w:line="419" w:lineRule="atLeast"/>
              <w:jc w:val="left"/>
              <w:rPr>
                <w:rFonts w:ascii="宋体" w:eastAsia="宋体" w:hAnsi="宋体" w:cs="宋体"/>
                <w:color w:val="4B4B4B"/>
                <w:kern w:val="0"/>
                <w:sz w:val="23"/>
                <w:szCs w:val="23"/>
              </w:rPr>
            </w:pPr>
          </w:p>
        </w:tc>
        <w:tc>
          <w:tcPr>
            <w:tcW w:w="500" w:type="pct"/>
            <w:hideMark/>
          </w:tcPr>
          <w:p w:rsidR="00DA5D14" w:rsidRPr="00DA5D14" w:rsidRDefault="00DA5D14" w:rsidP="00DA5D14">
            <w:pPr>
              <w:widowControl/>
              <w:spacing w:line="419" w:lineRule="atLeast"/>
              <w:jc w:val="left"/>
              <w:rPr>
                <w:rFonts w:ascii="宋体" w:eastAsia="宋体" w:hAnsi="宋体" w:cs="宋体"/>
                <w:b/>
                <w:bCs/>
                <w:color w:val="4B4B4B"/>
                <w:kern w:val="0"/>
                <w:sz w:val="23"/>
                <w:szCs w:val="23"/>
              </w:rPr>
            </w:pPr>
          </w:p>
        </w:tc>
        <w:tc>
          <w:tcPr>
            <w:tcW w:w="1700" w:type="pct"/>
            <w:hideMark/>
          </w:tcPr>
          <w:p w:rsidR="00DA5D14" w:rsidRPr="00DA5D14" w:rsidRDefault="00DA5D14" w:rsidP="00DA5D14">
            <w:pPr>
              <w:widowControl/>
              <w:spacing w:line="419" w:lineRule="atLeast"/>
              <w:jc w:val="left"/>
              <w:rPr>
                <w:rFonts w:ascii="宋体" w:eastAsia="宋体" w:hAnsi="宋体" w:cs="宋体"/>
                <w:color w:val="4B4B4B"/>
                <w:kern w:val="0"/>
                <w:sz w:val="23"/>
                <w:szCs w:val="23"/>
              </w:rPr>
            </w:pPr>
          </w:p>
        </w:tc>
      </w:tr>
      <w:tr w:rsidR="00DA5D14" w:rsidRPr="00DA5D14" w:rsidTr="00DA5D14">
        <w:trPr>
          <w:tblCellSpacing w:w="0" w:type="dxa"/>
        </w:trPr>
        <w:tc>
          <w:tcPr>
            <w:tcW w:w="500" w:type="pct"/>
            <w:hideMark/>
          </w:tcPr>
          <w:p w:rsidR="00DA5D14" w:rsidRPr="00DA5D14" w:rsidRDefault="00DA5D14" w:rsidP="00DA5D14">
            <w:pPr>
              <w:widowControl/>
              <w:spacing w:line="419" w:lineRule="atLeast"/>
              <w:jc w:val="left"/>
              <w:rPr>
                <w:rFonts w:ascii="宋体" w:eastAsia="宋体" w:hAnsi="宋体" w:cs="宋体"/>
                <w:b/>
                <w:bCs/>
                <w:color w:val="4B4B4B"/>
                <w:kern w:val="0"/>
                <w:sz w:val="23"/>
                <w:szCs w:val="23"/>
              </w:rPr>
            </w:pPr>
          </w:p>
        </w:tc>
        <w:tc>
          <w:tcPr>
            <w:tcW w:w="0" w:type="auto"/>
            <w:hideMark/>
          </w:tcPr>
          <w:p w:rsidR="00DA5D14" w:rsidRPr="00DA5D14" w:rsidRDefault="00DA5D14" w:rsidP="00DA5D14">
            <w:pPr>
              <w:widowControl/>
              <w:spacing w:line="419" w:lineRule="atLeast"/>
              <w:jc w:val="left"/>
              <w:rPr>
                <w:rFonts w:ascii="宋体" w:eastAsia="宋体" w:hAnsi="宋体" w:cs="宋体"/>
                <w:color w:val="4B4B4B"/>
                <w:kern w:val="0"/>
                <w:sz w:val="23"/>
                <w:szCs w:val="23"/>
              </w:rPr>
            </w:pPr>
          </w:p>
        </w:tc>
        <w:tc>
          <w:tcPr>
            <w:tcW w:w="500" w:type="pct"/>
            <w:hideMark/>
          </w:tcPr>
          <w:p w:rsidR="00DA5D14" w:rsidRPr="00DA5D14" w:rsidRDefault="00DA5D14" w:rsidP="00DA5D14">
            <w:pPr>
              <w:widowControl/>
              <w:spacing w:line="419" w:lineRule="atLeast"/>
              <w:jc w:val="left"/>
              <w:rPr>
                <w:rFonts w:ascii="宋体" w:eastAsia="宋体" w:hAnsi="宋体" w:cs="宋体"/>
                <w:b/>
                <w:bCs/>
                <w:color w:val="4B4B4B"/>
                <w:kern w:val="0"/>
                <w:sz w:val="23"/>
                <w:szCs w:val="23"/>
              </w:rPr>
            </w:pPr>
          </w:p>
        </w:tc>
        <w:tc>
          <w:tcPr>
            <w:tcW w:w="0" w:type="auto"/>
            <w:gridSpan w:val="3"/>
            <w:hideMark/>
          </w:tcPr>
          <w:p w:rsidR="00DA5D14" w:rsidRPr="00DA5D14" w:rsidRDefault="00DA5D14" w:rsidP="00DA5D14">
            <w:pPr>
              <w:widowControl/>
              <w:spacing w:line="419" w:lineRule="atLeast"/>
              <w:jc w:val="left"/>
              <w:rPr>
                <w:rFonts w:ascii="宋体" w:eastAsia="宋体" w:hAnsi="宋体" w:cs="宋体"/>
                <w:color w:val="4B4B4B"/>
                <w:kern w:val="0"/>
                <w:sz w:val="23"/>
                <w:szCs w:val="23"/>
              </w:rPr>
            </w:pPr>
          </w:p>
        </w:tc>
      </w:tr>
      <w:tr w:rsidR="00DA5D14" w:rsidRPr="00DA5D14" w:rsidTr="00DA5D14">
        <w:trPr>
          <w:tblCellSpacing w:w="0" w:type="dxa"/>
        </w:trPr>
        <w:tc>
          <w:tcPr>
            <w:tcW w:w="500" w:type="pct"/>
            <w:hideMark/>
          </w:tcPr>
          <w:p w:rsidR="00DA5D14" w:rsidRPr="00DA5D14" w:rsidRDefault="00DA5D14" w:rsidP="00DA5D14">
            <w:pPr>
              <w:widowControl/>
              <w:spacing w:line="419" w:lineRule="atLeast"/>
              <w:jc w:val="left"/>
              <w:rPr>
                <w:rFonts w:ascii="宋体" w:eastAsia="宋体" w:hAnsi="宋体" w:cs="宋体"/>
                <w:b/>
                <w:bCs/>
                <w:color w:val="4B4B4B"/>
                <w:kern w:val="0"/>
                <w:sz w:val="23"/>
                <w:szCs w:val="23"/>
              </w:rPr>
            </w:pPr>
          </w:p>
        </w:tc>
        <w:tc>
          <w:tcPr>
            <w:tcW w:w="0" w:type="auto"/>
            <w:gridSpan w:val="5"/>
            <w:hideMark/>
          </w:tcPr>
          <w:p w:rsidR="00DA5D14" w:rsidRPr="00DA5D14" w:rsidRDefault="00DA5D14" w:rsidP="00DA5D14">
            <w:pPr>
              <w:widowControl/>
              <w:spacing w:line="419" w:lineRule="atLeast"/>
              <w:jc w:val="left"/>
              <w:rPr>
                <w:rFonts w:ascii="宋体" w:eastAsia="宋体" w:hAnsi="宋体" w:cs="宋体"/>
                <w:color w:val="4B4B4B"/>
                <w:kern w:val="0"/>
                <w:sz w:val="23"/>
                <w:szCs w:val="23"/>
              </w:rPr>
            </w:pPr>
          </w:p>
        </w:tc>
      </w:tr>
    </w:tbl>
    <w:p w:rsidR="00DA5D14" w:rsidRPr="00DA5D14" w:rsidRDefault="00DA5D14" w:rsidP="00DA5D14">
      <w:pPr>
        <w:widowControl/>
        <w:shd w:val="clear" w:color="auto" w:fill="FFFFFF"/>
        <w:jc w:val="left"/>
        <w:rPr>
          <w:rFonts w:ascii="宋体" w:eastAsia="宋体" w:hAnsi="宋体" w:cs="宋体"/>
          <w:vanish/>
          <w:kern w:val="0"/>
          <w:sz w:val="24"/>
          <w:szCs w:val="24"/>
        </w:rPr>
      </w:pPr>
      <w:r w:rsidRPr="00DA5D14">
        <w:rPr>
          <w:rFonts w:ascii="宋体" w:eastAsia="宋体" w:hAnsi="宋体" w:cs="宋体"/>
          <w:vanish/>
          <w:kern w:val="0"/>
          <w:sz w:val="24"/>
          <w:szCs w:val="24"/>
        </w:rPr>
        <w:t>信息公开_其他</w:t>
      </w:r>
    </w:p>
    <w:p w:rsidR="00DA5D14" w:rsidRPr="00DA5D14" w:rsidRDefault="00DA5D14" w:rsidP="00DA5D14">
      <w:pPr>
        <w:widowControl/>
        <w:shd w:val="clear" w:color="auto" w:fill="FFFFFF"/>
        <w:spacing w:before="100" w:beforeAutospacing="1" w:after="100" w:afterAutospacing="1" w:line="536" w:lineRule="atLeast"/>
        <w:jc w:val="center"/>
        <w:rPr>
          <w:rFonts w:ascii="微软雅黑" w:eastAsia="微软雅黑" w:hAnsi="微软雅黑" w:cs="宋体"/>
          <w:b/>
          <w:bCs/>
          <w:vanish/>
          <w:color w:val="4B4B4B"/>
          <w:kern w:val="0"/>
          <w:sz w:val="27"/>
          <w:szCs w:val="27"/>
        </w:rPr>
      </w:pPr>
      <w:r w:rsidRPr="00DA5D14">
        <w:rPr>
          <w:rFonts w:ascii="微软雅黑" w:eastAsia="微软雅黑" w:hAnsi="微软雅黑" w:cs="宋体" w:hint="eastAsia"/>
          <w:b/>
          <w:bCs/>
          <w:vanish/>
          <w:color w:val="4B4B4B"/>
          <w:kern w:val="0"/>
          <w:sz w:val="27"/>
          <w:szCs w:val="27"/>
        </w:rPr>
        <w:t>教财〔1996〕101号</w:t>
      </w:r>
    </w:p>
    <w:p w:rsidR="00DA5D14" w:rsidRPr="00DA5D14" w:rsidRDefault="00DA5D14" w:rsidP="00DA5D14">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4"/>
          <w:szCs w:val="34"/>
        </w:rPr>
      </w:pPr>
      <w:r w:rsidRPr="00DA5D14">
        <w:rPr>
          <w:rFonts w:ascii="微软雅黑" w:eastAsia="微软雅黑" w:hAnsi="微软雅黑" w:cs="宋体" w:hint="eastAsia"/>
          <w:b/>
          <w:bCs/>
          <w:color w:val="4B4B4B"/>
          <w:kern w:val="36"/>
          <w:sz w:val="34"/>
          <w:szCs w:val="34"/>
        </w:rPr>
        <w:t>高等学校收费管理暂行办法</w:t>
      </w:r>
    </w:p>
    <w:p w:rsidR="00DA5D14" w:rsidRPr="00DA5D14" w:rsidRDefault="00DA5D14" w:rsidP="00DA5D14">
      <w:pPr>
        <w:widowControl/>
        <w:shd w:val="clear" w:color="auto" w:fill="FFFFFF"/>
        <w:spacing w:before="100" w:beforeAutospacing="1" w:after="100" w:afterAutospacing="1" w:line="536" w:lineRule="atLeast"/>
        <w:jc w:val="right"/>
        <w:rPr>
          <w:rFonts w:ascii="微软雅黑" w:eastAsia="微软雅黑" w:hAnsi="微软雅黑" w:cs="宋体" w:hint="eastAsia"/>
          <w:b/>
          <w:bCs/>
          <w:color w:val="4B4B4B"/>
          <w:kern w:val="0"/>
          <w:sz w:val="27"/>
          <w:szCs w:val="27"/>
        </w:rPr>
      </w:pPr>
      <w:proofErr w:type="gramStart"/>
      <w:r w:rsidRPr="00DA5D14">
        <w:rPr>
          <w:rFonts w:ascii="微软雅黑" w:eastAsia="微软雅黑" w:hAnsi="微软雅黑" w:cs="宋体" w:hint="eastAsia"/>
          <w:b/>
          <w:bCs/>
          <w:color w:val="4B4B4B"/>
          <w:kern w:val="0"/>
          <w:sz w:val="27"/>
          <w:szCs w:val="27"/>
        </w:rPr>
        <w:t>教财〔1996〕</w:t>
      </w:r>
      <w:proofErr w:type="gramEnd"/>
      <w:r w:rsidRPr="00DA5D14">
        <w:rPr>
          <w:rFonts w:ascii="微软雅黑" w:eastAsia="微软雅黑" w:hAnsi="微软雅黑" w:cs="宋体" w:hint="eastAsia"/>
          <w:b/>
          <w:bCs/>
          <w:color w:val="4B4B4B"/>
          <w:kern w:val="0"/>
          <w:sz w:val="27"/>
          <w:szCs w:val="27"/>
        </w:rPr>
        <w:t>101号</w:t>
      </w:r>
    </w:p>
    <w:p w:rsidR="00DA5D14" w:rsidRPr="00DA5D14" w:rsidRDefault="00DA5D14" w:rsidP="00DA5D14">
      <w:pPr>
        <w:widowControl/>
        <w:shd w:val="clear" w:color="auto" w:fill="FFFFFF"/>
        <w:spacing w:before="100" w:beforeAutospacing="1" w:after="100" w:afterAutospacing="1" w:line="536" w:lineRule="atLeast"/>
        <w:jc w:val="center"/>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（国家教育委员会　国家计划委员会 财政部1996年12月16日颁布）</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第一条　为加强高等学校收费管理，保障学校和受教育者的合法权益，根据《中华人民共和国教育法》第二十九条的规定和国家有关行政事业性收费管理的规定，制定本暂行办法。</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第二条　本暂行办法适用于中华人民共和国境内由国家及企业、事业组织举办的全日制普通高等学校。</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第三条　高等教育属于非义务教育阶段，学校依据国家有关规定，向学生收取学费。</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第四条　学费标准根据年生均教育培养成本的一定比例确定。不同地区、不同专业、不同层次学校的学费收费标准可以有所区别。</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教育培养成本包括以下项目：公务费、业务费、设备购置费、修缮费、教职工人员经费等正常办学费用支出。不包括灾害损失、事故、校办产业支出等非正常办学费用支出。</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第五条　学费占年生均教育培养成本的比例和标准由国家教委、国家计委、财政部共同</w:t>
      </w:r>
      <w:proofErr w:type="gramStart"/>
      <w:r w:rsidRPr="00DA5D14">
        <w:rPr>
          <w:rFonts w:ascii="微软雅黑" w:eastAsia="微软雅黑" w:hAnsi="微软雅黑" w:cs="宋体" w:hint="eastAsia"/>
          <w:color w:val="4B4B4B"/>
          <w:kern w:val="0"/>
          <w:sz w:val="27"/>
          <w:szCs w:val="27"/>
        </w:rPr>
        <w:t>作出</w:t>
      </w:r>
      <w:proofErr w:type="gramEnd"/>
      <w:r w:rsidRPr="00DA5D14">
        <w:rPr>
          <w:rFonts w:ascii="微软雅黑" w:eastAsia="微软雅黑" w:hAnsi="微软雅黑" w:cs="宋体" w:hint="eastAsia"/>
          <w:color w:val="4B4B4B"/>
          <w:kern w:val="0"/>
          <w:sz w:val="27"/>
          <w:szCs w:val="27"/>
        </w:rPr>
        <w:t>原则规定。在现阶段，高等学校学费占年生均</w:t>
      </w:r>
      <w:r w:rsidRPr="00DA5D14">
        <w:rPr>
          <w:rFonts w:ascii="微软雅黑" w:eastAsia="微软雅黑" w:hAnsi="微软雅黑" w:cs="宋体" w:hint="eastAsia"/>
          <w:color w:val="4B4B4B"/>
          <w:kern w:val="0"/>
          <w:sz w:val="27"/>
          <w:szCs w:val="27"/>
        </w:rPr>
        <w:lastRenderedPageBreak/>
        <w:t>教育培养成本的比例最高不得超过２５％。具体比例必须根据经济发展状况和群众承受能力分步调整到位。</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国家规定范围之内的学费标准审批权限在省级人民政府。由省级教育部门提出意见，物价部门会同财政部门根据当地经济发展水平、办学条件和居民经济承受能力进行审核，三部门共同报省级人民政府批准后，由教育部门执行。</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第六条　学费标准的调整，由省级教育、物价、财政部门按照第五条规定的程序，根据本行政区域内的物价上涨水平和居民收入平均增长水平提出方案，报省级人民政府批准后执行。</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第七条　农林、师范、体育、航海、民族专业等享受国家专业奖学金的高校学生免缴学费。</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第八条　中央部委直属高等学校和地方业务部门直属高等学校学费标准，由高等学校根据年生均教育培养成本的一定比例提出，经学校主管部门同意后，报学校所在省、自治区、直辖市教育部门，按第五条规定的程序，由学校所在地的省级人民政府批准后执行。</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各高等学校申报学费标准时，应对下列问题进行说明：（１）培养成本项目及标准（２）本学年确定收费标准的原则和调整收费标准的说明（３）其他需说明的问题。</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lastRenderedPageBreak/>
        <w:t xml:space="preserve">　　第九条　对家庭经济困难的学生应酌情减免收取学费，具体减免办法，由省级人民政府根据国家有关规定制定。同时，各高等学校及其主管部门要采取包括奖学金、贷学金、勤工助学、困难补助等多种方式，切实帮助家庭经济困难学生解决学生和生活上的困难，保证他们不因经济原因而中断学业。</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第十条　学费按学年或学期收取，不得跨学年预收。学费收取实行“老生老办法，新生新办法”。</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第十一条　学费由学校财务部门统一收取，到指定的物价部门申领收费许可证，并使用省级财政部门统一印制的行政事业性收费专用票据。</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第十二条　学费是学校经费的必要来源之一，纳入单位财务统一核算，统筹用于办学支出。任何部门、单位和个人不得截留、挤占和挪用。学费的收支情况应按级次向教育主管部门和财政、物价部门报告，并接受社会和群众监督。</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第十三条　学校为学生提供的住宿收费，应严格加以控制。住宿费收费标准必须严格按照实际成本确定，不得以营利为目的。具体收费标准，由学校主管部门提出意见，报当地物价部门会同财政部门审批。</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第十四条　高等学校除收取学费和住宿费以外，未经财政部、国家计委、国家教委联合批准或省级人民政府批准，不得再向学生收取任何费用。</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lastRenderedPageBreak/>
        <w:t xml:space="preserve">　　第十五条　各省、自治区、直辖市人民政府必须高度重视并加强对学校收费工作的统一领导和集中管理，根据国家有关规定研究制定必要的收费管理办法，规范审批程序，制定学生年生均教育培养成本等确定学费标准的依据文件，定期向社会公布，接受群众监督。</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第十六条　教育收费管理由各级教育、物价、财政部门共同负责。各级教育、物价、财政部门要加强对高等学校收费的管理和监督，督促学校严格执行国家有关教育收费管理的政策和规定，建立健全收费管理的规章和制定，对巧立名目擅自增设收费项目、扩大收费范围和提高收费标准的、对挤占挪用学费收入的，要按国家有关规定严肃查处；对乱收费屡禁不止、屡查屡犯，情节严重的，要按国家有关规定对学校负责人给予行政处分。</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第十七条　成人高等学校、高等函授教育等非全日制普通高等教育学费收费项目及标准，参照本办法执行。</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第十八条　各省、自治区、直辖市教育、物价、财政部门，应根据本办法，制定具体实施办法，并报国家教委、国家计委、财政部备案。</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第十九条　本办法由国家教委、国家计委、财政部负责解释。</w:t>
      </w:r>
    </w:p>
    <w:p w:rsidR="00DA5D14" w:rsidRPr="00DA5D14" w:rsidRDefault="00DA5D14" w:rsidP="00DA5D14">
      <w:pPr>
        <w:widowControl/>
        <w:shd w:val="clear" w:color="auto" w:fill="FFFFFF"/>
        <w:spacing w:before="100" w:beforeAutospacing="1" w:after="100" w:afterAutospacing="1" w:line="536" w:lineRule="atLeast"/>
        <w:jc w:val="left"/>
        <w:rPr>
          <w:rFonts w:ascii="微软雅黑" w:eastAsia="微软雅黑" w:hAnsi="微软雅黑" w:cs="宋体" w:hint="eastAsia"/>
          <w:color w:val="4B4B4B"/>
          <w:kern w:val="0"/>
          <w:sz w:val="27"/>
          <w:szCs w:val="27"/>
        </w:rPr>
      </w:pPr>
      <w:r w:rsidRPr="00DA5D14">
        <w:rPr>
          <w:rFonts w:ascii="微软雅黑" w:eastAsia="微软雅黑" w:hAnsi="微软雅黑" w:cs="宋体" w:hint="eastAsia"/>
          <w:color w:val="4B4B4B"/>
          <w:kern w:val="0"/>
          <w:sz w:val="27"/>
          <w:szCs w:val="27"/>
        </w:rPr>
        <w:t xml:space="preserve">　　第二十条　本办法自颁布之日起执行。</w:t>
      </w:r>
    </w:p>
    <w:p w:rsidR="001843AB" w:rsidRPr="00DA5D14" w:rsidRDefault="001843AB">
      <w:pPr>
        <w:rPr>
          <w:rFonts w:hint="eastAsia"/>
        </w:rPr>
      </w:pPr>
    </w:p>
    <w:sectPr w:rsidR="001843AB" w:rsidRPr="00DA5D14" w:rsidSect="001843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5D14"/>
    <w:rsid w:val="001843AB"/>
    <w:rsid w:val="003D17FB"/>
    <w:rsid w:val="00DA5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100197">
      <w:bodyDiv w:val="1"/>
      <w:marLeft w:val="0"/>
      <w:marRight w:val="0"/>
      <w:marTop w:val="0"/>
      <w:marBottom w:val="0"/>
      <w:divBdr>
        <w:top w:val="none" w:sz="0" w:space="0" w:color="auto"/>
        <w:left w:val="none" w:sz="0" w:space="0" w:color="auto"/>
        <w:bottom w:val="none" w:sz="0" w:space="0" w:color="auto"/>
        <w:right w:val="none" w:sz="0" w:space="0" w:color="auto"/>
      </w:divBdr>
      <w:divsChild>
        <w:div w:id="1395276160">
          <w:marLeft w:val="0"/>
          <w:marRight w:val="0"/>
          <w:marTop w:val="0"/>
          <w:marBottom w:val="0"/>
          <w:divBdr>
            <w:top w:val="none" w:sz="0" w:space="0" w:color="auto"/>
            <w:left w:val="none" w:sz="0" w:space="0" w:color="auto"/>
            <w:bottom w:val="none" w:sz="0" w:space="0" w:color="auto"/>
            <w:right w:val="none" w:sz="0" w:space="0" w:color="auto"/>
          </w:divBdr>
          <w:divsChild>
            <w:div w:id="1840191151">
              <w:marLeft w:val="0"/>
              <w:marRight w:val="0"/>
              <w:marTop w:val="0"/>
              <w:marBottom w:val="0"/>
              <w:divBdr>
                <w:top w:val="single" w:sz="6" w:space="31" w:color="BCBCBC"/>
                <w:left w:val="single" w:sz="6" w:space="31" w:color="BCBCBC"/>
                <w:bottom w:val="single" w:sz="6" w:space="17" w:color="BCBCBC"/>
                <w:right w:val="single" w:sz="6" w:space="31" w:color="BCBCBC"/>
              </w:divBdr>
              <w:divsChild>
                <w:div w:id="1256749284">
                  <w:marLeft w:val="0"/>
                  <w:marRight w:val="0"/>
                  <w:marTop w:val="0"/>
                  <w:marBottom w:val="0"/>
                  <w:divBdr>
                    <w:top w:val="none" w:sz="0" w:space="0" w:color="auto"/>
                    <w:left w:val="none" w:sz="0" w:space="0" w:color="auto"/>
                    <w:bottom w:val="none" w:sz="0" w:space="0" w:color="auto"/>
                    <w:right w:val="none" w:sz="0" w:space="0" w:color="auto"/>
                  </w:divBdr>
                  <w:divsChild>
                    <w:div w:id="998268700">
                      <w:marLeft w:val="0"/>
                      <w:marRight w:val="0"/>
                      <w:marTop w:val="0"/>
                      <w:marBottom w:val="0"/>
                      <w:divBdr>
                        <w:top w:val="none" w:sz="0" w:space="0" w:color="auto"/>
                        <w:left w:val="none" w:sz="0" w:space="0" w:color="auto"/>
                        <w:bottom w:val="none" w:sz="0" w:space="0" w:color="auto"/>
                        <w:right w:val="none" w:sz="0" w:space="0" w:color="auto"/>
                      </w:divBdr>
                    </w:div>
                    <w:div w:id="1234466936">
                      <w:marLeft w:val="0"/>
                      <w:marRight w:val="0"/>
                      <w:marTop w:val="50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1640</Characters>
  <Application>Microsoft Office Word</Application>
  <DocSecurity>0</DocSecurity>
  <Lines>13</Lines>
  <Paragraphs>3</Paragraphs>
  <ScaleCrop>false</ScaleCrop>
  <Company>微软中国</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何晓蓉</dc:creator>
  <cp:keywords/>
  <dc:description/>
  <cp:lastModifiedBy>何晓蓉</cp:lastModifiedBy>
  <cp:revision>1</cp:revision>
  <dcterms:created xsi:type="dcterms:W3CDTF">2017-07-30T12:27:00Z</dcterms:created>
  <dcterms:modified xsi:type="dcterms:W3CDTF">2017-07-30T12:28:00Z</dcterms:modified>
</cp:coreProperties>
</file>